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C4" w:rsidRPr="00AC19AB" w:rsidRDefault="00AC19AB" w:rsidP="00AC19AB">
      <w:pPr>
        <w:jc w:val="center"/>
        <w:rPr>
          <w:b/>
          <w:sz w:val="32"/>
          <w:szCs w:val="32"/>
          <w:u w:val="single"/>
        </w:rPr>
      </w:pPr>
      <w:r w:rsidRPr="00AC19AB">
        <w:rPr>
          <w:b/>
          <w:sz w:val="32"/>
          <w:szCs w:val="32"/>
          <w:u w:val="single"/>
        </w:rPr>
        <w:t>Вентилни отводи</w:t>
      </w: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927D8C">
      <w:pPr>
        <w:rPr>
          <w:sz w:val="28"/>
          <w:szCs w:val="28"/>
          <w:u w:val="single"/>
          <w:lang w:val="en-US"/>
        </w:rPr>
      </w:pPr>
      <w:r w:rsidRPr="00E963C4">
        <w:rPr>
          <w:noProof/>
          <w:sz w:val="28"/>
          <w:szCs w:val="28"/>
          <w:u w:val="singl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5709920</wp:posOffset>
            </wp:positionV>
            <wp:extent cx="4914900" cy="3069590"/>
            <wp:effectExtent l="0" t="0" r="0" b="0"/>
            <wp:wrapSquare wrapText="bothSides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3C4">
        <w:rPr>
          <w:noProof/>
          <w:sz w:val="28"/>
          <w:szCs w:val="28"/>
          <w:u w:val="single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30480</wp:posOffset>
            </wp:positionV>
            <wp:extent cx="4914900" cy="3005455"/>
            <wp:effectExtent l="0" t="0" r="0" b="0"/>
            <wp:wrapSquare wrapText="bothSides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3C4">
        <w:rPr>
          <w:noProof/>
          <w:sz w:val="28"/>
          <w:szCs w:val="28"/>
          <w:u w:val="single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3002280</wp:posOffset>
            </wp:positionV>
            <wp:extent cx="4914900" cy="2990850"/>
            <wp:effectExtent l="0" t="0" r="0" b="0"/>
            <wp:wrapSquare wrapText="bothSides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E963C4" w:rsidRPr="00E963C4" w:rsidRDefault="00E963C4">
      <w:pPr>
        <w:rPr>
          <w:sz w:val="28"/>
          <w:szCs w:val="28"/>
          <w:u w:val="single"/>
          <w:lang w:val="en-US"/>
        </w:rPr>
      </w:pPr>
    </w:p>
    <w:p w:rsidR="00E963C4" w:rsidRDefault="00E963C4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AC19AB" w:rsidRDefault="00AC19AB">
      <w:pPr>
        <w:rPr>
          <w:sz w:val="28"/>
          <w:szCs w:val="28"/>
          <w:u w:val="single"/>
          <w:lang w:val="en-US"/>
        </w:rPr>
      </w:pPr>
    </w:p>
    <w:p w:rsidR="00420ED8" w:rsidRDefault="00AC19AB">
      <w:pPr>
        <w:rPr>
          <w:sz w:val="28"/>
          <w:szCs w:val="28"/>
          <w:u w:val="single"/>
          <w:lang w:val="en-US"/>
        </w:rPr>
      </w:pPr>
      <w:r w:rsidRPr="00AC19AB">
        <w:rPr>
          <w:noProof/>
          <w:sz w:val="20"/>
          <w:szCs w:val="20"/>
        </w:rPr>
        <w:lastRenderedPageBreak/>
        <w:object w:dxaOrig="300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-9pt;margin-top:318.8pt;width:486pt;height:388.4pt;z-index:251659264">
            <v:imagedata r:id="rId8" o:title=""/>
            <w10:wrap type="square"/>
          </v:shape>
          <o:OLEObject Type="Embed" ProgID="ViewerFrameClass" ShapeID="_x0000_s1035" DrawAspect="Content" ObjectID="_1837671726" r:id="rId9"/>
        </w:object>
      </w:r>
      <w:r w:rsidR="00420ED8" w:rsidRPr="00420ED8">
        <w:rPr>
          <w:noProof/>
          <w:sz w:val="20"/>
          <w:szCs w:val="20"/>
        </w:rPr>
        <w:object w:dxaOrig="3000" w:dyaOrig="2055">
          <v:shape id="_x0000_s1034" type="#_x0000_t75" style="position:absolute;margin-left:-9pt;margin-top:16.1pt;width:485.8pt;height:293pt;z-index:251658240">
            <v:imagedata r:id="rId10" o:title=""/>
            <w10:wrap type="square"/>
          </v:shape>
          <o:OLEObject Type="Embed" ProgID="ViewerFrameClass" ShapeID="_x0000_s1034" DrawAspect="Content" ObjectID="_1837671725" r:id="rId11"/>
        </w:object>
      </w:r>
    </w:p>
    <w:p w:rsidR="00420ED8" w:rsidRDefault="00420ED8">
      <w:pPr>
        <w:rPr>
          <w:sz w:val="28"/>
          <w:szCs w:val="28"/>
          <w:u w:val="single"/>
          <w:lang w:val="en-US"/>
        </w:rPr>
      </w:pPr>
    </w:p>
    <w:p w:rsidR="00AC19AB" w:rsidRDefault="00AC19AB">
      <w:pPr>
        <w:rPr>
          <w:sz w:val="28"/>
          <w:szCs w:val="28"/>
          <w:u w:val="single"/>
          <w:lang w:val="en-US"/>
        </w:rPr>
      </w:pPr>
    </w:p>
    <w:tbl>
      <w:tblPr>
        <w:tblpPr w:leftFromText="141" w:rightFromText="141" w:vertAnchor="text" w:horzAnchor="margin" w:tblpY="1"/>
        <w:tblW w:w="5525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4"/>
        <w:gridCol w:w="6951"/>
      </w:tblGrid>
      <w:tr w:rsidR="00A559D3" w:rsidRPr="00CD6825">
        <w:trPr>
          <w:trHeight w:val="12603"/>
          <w:tblCellSpacing w:w="0" w:type="dxa"/>
        </w:trPr>
        <w:tc>
          <w:tcPr>
            <w:tcW w:w="1533" w:type="pct"/>
          </w:tcPr>
          <w:p w:rsidR="00A559D3" w:rsidRPr="00A559D3" w:rsidRDefault="00927D8C" w:rsidP="00A559D3">
            <w:pPr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noProof/>
                <w:color w:val="333333"/>
              </w:rPr>
              <w:lastRenderedPageBreak/>
              <w:drawing>
                <wp:inline distT="0" distB="0" distL="0" distR="0">
                  <wp:extent cx="1903730" cy="1303655"/>
                  <wp:effectExtent l="0" t="0" r="0" b="0"/>
                  <wp:docPr id="1" name="Картина 1" descr="Основи за предпазители високоволтови с вентилен отводи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нови за предпазители високоволтови с вентилен отводи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7" w:type="pct"/>
            <w:tcMar>
              <w:top w:w="0" w:type="dxa"/>
              <w:left w:w="50" w:type="dxa"/>
              <w:bottom w:w="0" w:type="dxa"/>
              <w:right w:w="50" w:type="dxa"/>
            </w:tcMar>
          </w:tcPr>
          <w:p w:rsidR="00A559D3" w:rsidRPr="00A559D3" w:rsidRDefault="00A559D3" w:rsidP="00A559D3">
            <w:p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b/>
                <w:bCs/>
                <w:color w:val="333333"/>
              </w:rPr>
              <w:t>Основи комбинирани за високоволтови предпазители с вентилен отводител тип СКО</w:t>
            </w:r>
            <w:r w:rsidRPr="00A559D3">
              <w:rPr>
                <w:rFonts w:ascii="Verdana" w:hAnsi="Verdana"/>
                <w:color w:val="333333"/>
              </w:rPr>
              <w:t xml:space="preserve"> (Стойка с Катоден Отводител)</w:t>
            </w:r>
          </w:p>
          <w:p w:rsidR="00A559D3" w:rsidRPr="00A559D3" w:rsidRDefault="00A559D3" w:rsidP="00A559D3">
            <w:p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b/>
                <w:bCs/>
                <w:color w:val="333333"/>
              </w:rPr>
              <w:t>Предназначение:</w:t>
            </w:r>
            <w:r w:rsidRPr="00A559D3">
              <w:rPr>
                <w:rFonts w:ascii="Verdana" w:hAnsi="Verdana"/>
                <w:color w:val="333333"/>
              </w:rPr>
              <w:t xml:space="preserve"> Основите за високоволтови предпазители за открит и вътрешен монтаж с вентилни отводители са предназначени за защита на мрежи и уредби средно напрежение от комутационни и атмосферни напрежения, монтиране на предпазителите в електрическата верига, осигурявайки надежден контакт и по този начин безотказната им работа. Произвеждат се за вътрешен или за външен монтаж.</w:t>
            </w:r>
          </w:p>
          <w:p w:rsidR="00A559D3" w:rsidRPr="00A559D3" w:rsidRDefault="00A559D3" w:rsidP="00A559D3">
            <w:p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b/>
                <w:bCs/>
                <w:color w:val="333333"/>
              </w:rPr>
              <w:t>Конструкция:</w:t>
            </w:r>
            <w:r w:rsidRPr="00A559D3">
              <w:rPr>
                <w:rFonts w:ascii="Verdana" w:hAnsi="Verdana"/>
                <w:color w:val="333333"/>
              </w:rPr>
              <w:t xml:space="preserve"> Хибридната стойка се различава от обикновената стойка само по това,</w:t>
            </w:r>
            <w:r w:rsidR="00915296">
              <w:rPr>
                <w:rFonts w:ascii="Verdana" w:hAnsi="Verdana"/>
                <w:color w:val="333333"/>
              </w:rPr>
              <w:t xml:space="preserve"> </w:t>
            </w:r>
            <w:r w:rsidRPr="00A559D3">
              <w:rPr>
                <w:rFonts w:ascii="Verdana" w:hAnsi="Verdana"/>
                <w:color w:val="333333"/>
              </w:rPr>
              <w:t>че на мястото на единия подпорен изолатор (порцеланов, силиконов или от лята смола) се монтира вентилен отводител. Начинът на изработка е съобразен с всички изисквания, на които трябва да отговаря стандартната стойка, както и с изискванията за монтаж на вентилния отводител.</w:t>
            </w:r>
          </w:p>
          <w:p w:rsidR="00A559D3" w:rsidRPr="00A559D3" w:rsidRDefault="00A559D3" w:rsidP="00A559D3">
            <w:p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>За осъществяване на добър електрически контакт, контактната система е галванично покрита със сребро, а механичните изисквания надеждно се удовлетворяват от подобрената конструкция.</w:t>
            </w:r>
          </w:p>
          <w:p w:rsidR="00A559D3" w:rsidRPr="00A559D3" w:rsidRDefault="00A559D3" w:rsidP="00A559D3">
            <w:p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b/>
                <w:bCs/>
                <w:color w:val="333333"/>
              </w:rPr>
              <w:t>Предимства: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 xml:space="preserve">Вентилният отводител защитава съоръженията от пренапрежения;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>Осуетява се възможността за кражба на ВО,</w:t>
            </w:r>
            <w:r w:rsidR="00915296">
              <w:rPr>
                <w:rFonts w:ascii="Verdana" w:hAnsi="Verdana"/>
                <w:color w:val="333333"/>
              </w:rPr>
              <w:t xml:space="preserve"> </w:t>
            </w:r>
            <w:r w:rsidRPr="00A559D3">
              <w:rPr>
                <w:rFonts w:ascii="Verdana" w:hAnsi="Verdana"/>
                <w:color w:val="333333"/>
              </w:rPr>
              <w:t xml:space="preserve">тъй като стойката се монтира вътре в трафопоста и веригата е вече токова, като прекъсването й предизвиква електрическа дъга;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 xml:space="preserve">Приближава се защитата максимално близо до охраняваното съоръжение;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 xml:space="preserve">Поевтиняване на стойката, поради отсъствие на единия изолатор и отпадане на необходимостта от допълнителна закрепваща арматура за ВО;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>Бърз и лесен монтаж,</w:t>
            </w:r>
            <w:r w:rsidR="00915296">
              <w:rPr>
                <w:rFonts w:ascii="Verdana" w:hAnsi="Verdana"/>
                <w:color w:val="333333"/>
              </w:rPr>
              <w:t xml:space="preserve"> </w:t>
            </w:r>
            <w:r w:rsidRPr="00A559D3">
              <w:rPr>
                <w:rFonts w:ascii="Verdana" w:hAnsi="Verdana"/>
                <w:color w:val="333333"/>
              </w:rPr>
              <w:t xml:space="preserve">без необходимост от допълнителна механизация;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 xml:space="preserve">Лесен достъп от упълномощени лица за ревизия и поддръжка; </w:t>
            </w:r>
          </w:p>
          <w:p w:rsidR="00A559D3" w:rsidRPr="00A559D3" w:rsidRDefault="00A559D3" w:rsidP="00A559D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hAnsi="Verdana"/>
                <w:color w:val="333333"/>
              </w:rPr>
            </w:pPr>
            <w:r w:rsidRPr="00A559D3">
              <w:rPr>
                <w:rFonts w:ascii="Verdana" w:hAnsi="Verdana"/>
                <w:color w:val="333333"/>
              </w:rPr>
              <w:t>Допълнителна шина - специално за заземяване на вентилния отводител.</w:t>
            </w:r>
          </w:p>
        </w:tc>
      </w:tr>
    </w:tbl>
    <w:p w:rsidR="00AC19AB" w:rsidRDefault="00AC19AB">
      <w:pPr>
        <w:rPr>
          <w:sz w:val="28"/>
          <w:szCs w:val="28"/>
          <w:u w:val="single"/>
        </w:rPr>
      </w:pPr>
    </w:p>
    <w:p w:rsidR="00BB5BBE" w:rsidRDefault="00BB5BBE">
      <w:pPr>
        <w:rPr>
          <w:sz w:val="28"/>
          <w:szCs w:val="28"/>
          <w:u w:val="single"/>
        </w:rPr>
      </w:pPr>
    </w:p>
    <w:p w:rsidR="00BB5BBE" w:rsidRDefault="00BB5BBE">
      <w:pPr>
        <w:rPr>
          <w:sz w:val="28"/>
          <w:szCs w:val="28"/>
          <w:u w:val="single"/>
        </w:rPr>
      </w:pPr>
    </w:p>
    <w:p w:rsidR="00BB5BBE" w:rsidRDefault="00BB5BBE">
      <w:pPr>
        <w:rPr>
          <w:sz w:val="28"/>
          <w:szCs w:val="28"/>
          <w:u w:val="single"/>
        </w:rPr>
      </w:pPr>
    </w:p>
    <w:p w:rsidR="00BB5BBE" w:rsidRDefault="00BB5BBE">
      <w:pPr>
        <w:rPr>
          <w:sz w:val="28"/>
          <w:szCs w:val="28"/>
          <w:u w:val="single"/>
          <w:lang w:val="en-US"/>
        </w:rPr>
      </w:pPr>
    </w:p>
    <w:p w:rsidR="007D6BFD" w:rsidRDefault="007D6BFD">
      <w:pPr>
        <w:rPr>
          <w:sz w:val="28"/>
          <w:szCs w:val="28"/>
          <w:u w:val="single"/>
          <w:lang w:val="en-US"/>
        </w:rPr>
      </w:pPr>
    </w:p>
    <w:p w:rsidR="007D6BFD" w:rsidRDefault="007D6BFD" w:rsidP="007D6BFD">
      <w:pPr>
        <w:spacing w:after="240"/>
      </w:pPr>
      <w:r>
        <w:rPr>
          <w:rStyle w:val="cat2zagl"/>
          <w:rFonts w:ascii="Arial" w:hAnsi="Arial" w:cs="Arial"/>
          <w:b/>
          <w:bCs/>
          <w:sz w:val="30"/>
          <w:szCs w:val="30"/>
        </w:rPr>
        <w:lastRenderedPageBreak/>
        <w:t>Вентилни отводи за електроразпределителни мрежи VARISIL тип HE 5 kV - 36 kV клас 1</w:t>
      </w:r>
      <w:r>
        <w:rPr>
          <w:rStyle w:val="a4"/>
          <w:rFonts w:ascii="Tahoma" w:hAnsi="Tahoma" w:cs="Tahoma"/>
          <w:color w:val="5D5D5D"/>
          <w:sz w:val="26"/>
          <w:szCs w:val="26"/>
        </w:rPr>
        <w:t>Описание: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Вентилните отводи VARISIL HE са металоокисен тип с полимерна изолация. Вентилните отводи се състоят от подредени в пакет металооксини варисторни таблети (MOV) завършващи в двата края с електроди.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Пакетът от металооксни варисторни дискове и електроди е покрит чрез автоматизиран процес с епоксиден материал, с подобрена чрез фибро-стъкло якост.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Целта е да се формира механически здрав модул, способен да издържа продължителни електрически, атмосферни и конзолни натоварвания.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Вентилните отводи VARISIL HE отговарят на всички изисквания на IEC 60099-4 и на последните допълнения ANSI/IEEE C62.11.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Fonts w:ascii="Tahoma" w:hAnsi="Tahoma" w:cs="Tahoma"/>
          <w:b/>
          <w:bCs/>
          <w:color w:val="5D5D5D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Приложение: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Вентилен отвод VARISIL HE  - за защита от пренапрежение на разпределителната мрежа.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b/>
          <w:bCs/>
          <w:color w:val="5D5D5D"/>
          <w:sz w:val="26"/>
          <w:szCs w:val="26"/>
        </w:rPr>
        <w:br/>
      </w:r>
      <w:r>
        <w:rPr>
          <w:rFonts w:ascii="Tahoma" w:hAnsi="Tahoma" w:cs="Tahoma"/>
          <w:b/>
          <w:bCs/>
          <w:color w:val="5D5D5D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Номинално напрежение (Ur) :</w:t>
      </w:r>
      <w:r>
        <w:rPr>
          <w:rStyle w:val="proddesc"/>
          <w:rFonts w:ascii="Tahoma" w:hAnsi="Tahoma" w:cs="Tahoma"/>
          <w:sz w:val="26"/>
          <w:szCs w:val="26"/>
        </w:rPr>
        <w:t>  От 5 kV до 36 kV rms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Клас:  </w:t>
      </w:r>
      <w:r>
        <w:rPr>
          <w:rStyle w:val="proddesc"/>
          <w:rFonts w:ascii="Tahoma" w:hAnsi="Tahoma" w:cs="Tahoma"/>
          <w:sz w:val="26"/>
          <w:szCs w:val="26"/>
        </w:rPr>
        <w:t>1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Максимален токов импулс: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100 kА с 4/10 μs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Продължителен токов импулс с голяма дължина: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300 А с импулс от 2000 μs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Енергоемкост при импулс 4/10:  </w:t>
      </w:r>
      <w:r>
        <w:rPr>
          <w:rStyle w:val="proddesc"/>
          <w:rFonts w:ascii="Tahoma" w:hAnsi="Tahoma" w:cs="Tahoma"/>
          <w:sz w:val="26"/>
          <w:szCs w:val="26"/>
        </w:rPr>
        <w:t>4.8kJ/kV от Uc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Максимално допустимо статично натоварване: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10 daN.m (*)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Устойчивост на късо съединение: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  20 kA/0.2sv - 600 A/1s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Предимства: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Непрекъснатост на обслужването;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Сигурност на съоръженията;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Подобрено качество;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Лесна поддръжка;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По-дълъг живот на съоръженията;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Ограничено остатъчно напрежение.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Допълнителни опции: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Болтове и шайби;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Прекъсвач на заземяващата линия и изолационна конзола;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Електронен индикатор за повреда.</w:t>
      </w:r>
      <w:r>
        <w:rPr>
          <w:rFonts w:ascii="Tahoma" w:hAnsi="Tahoma" w:cs="Tahoma"/>
          <w:sz w:val="26"/>
          <w:szCs w:val="26"/>
        </w:rPr>
        <w:br/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Допълнителни аксесоари:</w:t>
      </w:r>
      <w:r>
        <w:rPr>
          <w:rFonts w:ascii="Tahoma" w:hAnsi="Tahoma" w:cs="Tahoma"/>
          <w:b/>
          <w:bCs/>
          <w:color w:val="5D5D5D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 xml:space="preserve">- Метални скоби за хоризонтален или </w:t>
      </w:r>
      <w:r w:rsidR="00915296">
        <w:rPr>
          <w:rStyle w:val="proddesc"/>
          <w:rFonts w:ascii="Tahoma" w:hAnsi="Tahoma" w:cs="Tahoma"/>
          <w:sz w:val="26"/>
          <w:szCs w:val="26"/>
        </w:rPr>
        <w:t>вертикале</w:t>
      </w:r>
      <w:r w:rsidR="00915296">
        <w:rPr>
          <w:rStyle w:val="proddesc"/>
          <w:rFonts w:ascii="Tahoma" w:hAnsi="Tahoma" w:cs="Tahoma"/>
          <w:sz w:val="26"/>
          <w:szCs w:val="26"/>
        </w:rPr>
        <w:t>н</w:t>
      </w:r>
      <w:r w:rsidR="00915296">
        <w:rPr>
          <w:rStyle w:val="proddesc"/>
          <w:rFonts w:ascii="Tahoma" w:hAnsi="Tahoma" w:cs="Tahoma"/>
          <w:sz w:val="26"/>
          <w:szCs w:val="26"/>
        </w:rPr>
        <w:t xml:space="preserve"> </w:t>
      </w:r>
      <w:r>
        <w:rPr>
          <w:rStyle w:val="proddesc"/>
          <w:rFonts w:ascii="Tahoma" w:hAnsi="Tahoma" w:cs="Tahoma"/>
          <w:sz w:val="26"/>
          <w:szCs w:val="26"/>
        </w:rPr>
        <w:t>монтаж;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Заземителен проводник;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proddesc"/>
          <w:rFonts w:ascii="Tahoma" w:hAnsi="Tahoma" w:cs="Tahoma"/>
          <w:sz w:val="26"/>
          <w:szCs w:val="26"/>
        </w:rPr>
        <w:t>- Конзола (изолирана или неизолирана).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Ur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= номинално напрежение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Uc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= трайно работно напрежение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SRV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= остатъчно напрежение при комутационен импулс    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LRV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= остатъчно напрежение при импулс от мълния</w:t>
      </w:r>
      <w:r>
        <w:rPr>
          <w:rFonts w:ascii="Tahoma" w:hAnsi="Tahoma" w:cs="Tahoma"/>
          <w:sz w:val="26"/>
          <w:szCs w:val="26"/>
        </w:rPr>
        <w:br/>
      </w:r>
      <w:r>
        <w:rPr>
          <w:rStyle w:val="a4"/>
          <w:rFonts w:ascii="Tahoma" w:hAnsi="Tahoma" w:cs="Tahoma"/>
          <w:color w:val="5D5D5D"/>
          <w:sz w:val="26"/>
          <w:szCs w:val="26"/>
        </w:rPr>
        <w:t>CREEPAGE</w:t>
      </w:r>
      <w:r>
        <w:rPr>
          <w:rStyle w:val="apple-converted-space"/>
          <w:rFonts w:ascii="Tahoma" w:hAnsi="Tahoma" w:cs="Tahoma"/>
          <w:sz w:val="26"/>
          <w:szCs w:val="26"/>
        </w:rPr>
        <w:t> </w:t>
      </w:r>
      <w:r>
        <w:rPr>
          <w:rStyle w:val="proddesc"/>
          <w:rFonts w:ascii="Tahoma" w:hAnsi="Tahoma" w:cs="Tahoma"/>
          <w:sz w:val="26"/>
          <w:szCs w:val="26"/>
        </w:rPr>
        <w:t>= минимален път на утечка</w:t>
      </w:r>
    </w:p>
    <w:p w:rsidR="007D6BFD" w:rsidRDefault="007D6BFD" w:rsidP="007D6BFD">
      <w:pPr>
        <w:pStyle w:val="z-"/>
      </w:pPr>
      <w:r>
        <w:t>Top of Form</w:t>
      </w:r>
    </w:p>
    <w:tbl>
      <w:tblPr>
        <w:tblW w:w="9451" w:type="pct"/>
        <w:tblCellSpacing w:w="0" w:type="dxa"/>
        <w:tblInd w:w="-141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85"/>
        <w:gridCol w:w="885"/>
        <w:gridCol w:w="710"/>
        <w:gridCol w:w="902"/>
        <w:gridCol w:w="1049"/>
        <w:gridCol w:w="1274"/>
        <w:gridCol w:w="1593"/>
        <w:gridCol w:w="671"/>
        <w:gridCol w:w="1631"/>
        <w:gridCol w:w="884"/>
        <w:gridCol w:w="1514"/>
        <w:gridCol w:w="928"/>
        <w:gridCol w:w="928"/>
        <w:gridCol w:w="928"/>
        <w:gridCol w:w="915"/>
        <w:gridCol w:w="1432"/>
      </w:tblGrid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lastRenderedPageBreak/>
              <w:t>No.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Тип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Ur (kV rms)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Uc (kV rms)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Максимално остатъчно напрежение при 5кА 8/20 (kV peak)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Максимално остатъчно напрежение при 10кА 8/20 (kV peak)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Максимално остатъчно напрежение при 20кА 8/20 (kV peak)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SRV при 500А 30/80 (kV peak)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Остататъчно напрежение при стръмен токов импулс при 10кА -1/2.5 (kV peak)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LRV (kV 1.2/50)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P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18"/>
                <w:szCs w:val="18"/>
              </w:rPr>
            </w:pPr>
            <w:r w:rsidRPr="007D6BFD">
              <w:rPr>
                <w:rFonts w:ascii="Verdana" w:hAnsi="Verdana"/>
                <w:color w:val="757575"/>
                <w:sz w:val="18"/>
                <w:szCs w:val="18"/>
              </w:rPr>
              <w:t>CREEPAGE (мм)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Размер Н (мм)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Размер Ø (мм)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Размер Е (мм)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Тегло /SnD2 опция/ (kg)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Количество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3765.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HE05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4.25 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14.3 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15.2 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16.8 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12.1 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16.4 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480 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1.3 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44" type="#_x0000_t75" style="width:23.1pt;height:18.25pt" o:ole="">
                  <v:imagedata r:id="rId13" o:title=""/>
                </v:shape>
                <w:control r:id="rId14" w:name="DefaultOcxName" w:shapeid="_x0000_i1044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3766.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HE06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5.1 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15.4 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16.4 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18.1 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13.0 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17.7 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480 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1.3 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46" type="#_x0000_t75" style="width:23.1pt;height:18.25pt" o:ole="">
                  <v:imagedata r:id="rId13" o:title=""/>
                </v:shape>
                <w:control r:id="rId15" w:name="DefaultOcxName1" w:shapeid="_x0000_i1046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3767.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HE09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7.65 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26.4 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28.1 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31.1 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22.3 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30.3 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480 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1.5 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48" type="#_x0000_t75" style="width:23.1pt;height:18.25pt" o:ole="">
                  <v:imagedata r:id="rId13" o:title=""/>
                </v:shape>
                <w:control r:id="rId16" w:name="DefaultOcxName2" w:shapeid="_x0000_i1048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3768.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HE10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8.4 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27.5 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29.3 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32.4 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23.3 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31.6 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480 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1.5 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50" type="#_x0000_t75" style="width:23.1pt;height:18.25pt" o:ole="">
                  <v:imagedata r:id="rId13" o:title=""/>
                </v:shape>
                <w:control r:id="rId17" w:name="DefaultOcxName3" w:shapeid="_x0000_i1050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3769.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HE12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10.2 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30.8 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32.8 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36.2 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26.1 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35.4 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480 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165 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1.6 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52" type="#_x0000_t75" style="width:23.1pt;height:18.25pt" o:ole="">
                  <v:imagedata r:id="rId13" o:title=""/>
                </v:shape>
                <w:control r:id="rId18" w:name="DefaultOcxName4" w:shapeid="_x0000_i1052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3770.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HE15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15 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12.7 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40.7 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43.3 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47.8 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34.4 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46.8 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650 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205 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109 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2.0 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54" type="#_x0000_t75" style="width:23.1pt;height:18.25pt" o:ole="">
                  <v:imagedata r:id="rId13" o:title=""/>
                </v:shape>
                <w:control r:id="rId19" w:name="DefaultOcxName5" w:shapeid="_x0000_i1054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3771.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HE18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18 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15.3 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46.2 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49.1 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54.3 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39.0 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53.0 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650 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205 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109 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2.1 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56" type="#_x0000_t75" style="width:23.1pt;height:18.25pt" o:ole="">
                  <v:imagedata r:id="rId13" o:title=""/>
                </v:shape>
                <w:control r:id="rId20" w:name="DefaultOcxName6" w:shapeid="_x0000_i1056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3772.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HE21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21 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17.5 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56.1 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59.7 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66.0 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47.5 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64.5 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245 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109 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2.5 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58" type="#_x0000_t75" style="width:23.1pt;height:18.25pt" o:ole="">
                  <v:imagedata r:id="rId13" o:title=""/>
                </v:shape>
                <w:control r:id="rId21" w:name="DefaultOcxName7" w:shapeid="_x0000_i1058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3773.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HE24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24 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20 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61.2 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65.1 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71.9 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51.8 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70.3 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125 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245 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109 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2.6 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60" type="#_x0000_t75" style="width:23.1pt;height:18.25pt" o:ole="">
                  <v:imagedata r:id="rId13" o:title=""/>
                </v:shape>
                <w:control r:id="rId22" w:name="DefaultOcxName8" w:shapeid="_x0000_i1060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3774.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HE27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27 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22.5 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72.2 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76.8 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84.9 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61.1 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82.9 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3.1 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62" type="#_x0000_t75" style="width:23.1pt;height:18.25pt" o:ole="">
                  <v:imagedata r:id="rId13" o:title=""/>
                </v:shape>
                <w:control r:id="rId23" w:name="DefaultOcxName9" w:shapeid="_x0000_i1062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3775.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HE30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30 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25.0 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76.2 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81.1 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89.6 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64.5 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87.6 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3.2 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64" type="#_x0000_t75" style="width:23.1pt;height:18.25pt" o:ole="">
                  <v:imagedata r:id="rId13" o:title=""/>
                </v:shape>
                <w:control r:id="rId24" w:name="DefaultOcxName10" w:shapeid="_x0000_i1064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3776.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HE33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33 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27.5 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87.2 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92.8 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102.5 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73.8 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100.2 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3.4 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66" type="#_x0000_t75" style="width:23.1pt;height:18.25pt" o:ole="">
                  <v:imagedata r:id="rId13" o:title=""/>
                </v:shape>
                <w:control r:id="rId25" w:name="DefaultOcxName11" w:shapeid="_x0000_i1066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  <w:tr w:rsidR="007D6BFD">
        <w:trPr>
          <w:tblCellSpacing w:w="0" w:type="dxa"/>
        </w:trPr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3777.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HE36 </w:t>
            </w:r>
          </w:p>
        </w:tc>
        <w:tc>
          <w:tcPr>
            <w:tcW w:w="20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36 </w:t>
            </w:r>
          </w:p>
        </w:tc>
        <w:tc>
          <w:tcPr>
            <w:tcW w:w="263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30.0 </w:t>
            </w:r>
          </w:p>
        </w:tc>
        <w:tc>
          <w:tcPr>
            <w:tcW w:w="30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91.7 </w:t>
            </w:r>
          </w:p>
        </w:tc>
        <w:tc>
          <w:tcPr>
            <w:tcW w:w="37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97.5 </w:t>
            </w:r>
          </w:p>
        </w:tc>
        <w:tc>
          <w:tcPr>
            <w:tcW w:w="465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107.5 </w:t>
            </w:r>
          </w:p>
        </w:tc>
        <w:tc>
          <w:tcPr>
            <w:tcW w:w="19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77.5 </w:t>
            </w:r>
          </w:p>
        </w:tc>
        <w:tc>
          <w:tcPr>
            <w:tcW w:w="476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105.3 </w:t>
            </w:r>
          </w:p>
        </w:tc>
        <w:tc>
          <w:tcPr>
            <w:tcW w:w="258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170 </w:t>
            </w:r>
          </w:p>
        </w:tc>
        <w:tc>
          <w:tcPr>
            <w:tcW w:w="442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1200 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325 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114 </w:t>
            </w:r>
          </w:p>
        </w:tc>
        <w:tc>
          <w:tcPr>
            <w:tcW w:w="271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175 </w:t>
            </w:r>
          </w:p>
        </w:tc>
        <w:tc>
          <w:tcPr>
            <w:tcW w:w="267" w:type="pct"/>
            <w:tcBorders>
              <w:bottom w:val="single" w:sz="8" w:space="0" w:color="CCCCCC"/>
              <w:right w:val="single" w:sz="8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jc w:val="center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t>3.5 </w:t>
            </w:r>
          </w:p>
        </w:tc>
        <w:tc>
          <w:tcPr>
            <w:tcW w:w="418" w:type="pct"/>
            <w:tcBorders>
              <w:bottom w:val="single" w:sz="8" w:space="0" w:color="CCCCCC"/>
              <w:right w:val="single" w:sz="8" w:space="0" w:color="CCCCCC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D6BFD" w:rsidRDefault="007D6BFD">
            <w:pPr>
              <w:spacing w:before="200"/>
              <w:rPr>
                <w:rFonts w:ascii="Verdana" w:hAnsi="Verdana"/>
                <w:color w:val="757575"/>
                <w:sz w:val="22"/>
                <w:szCs w:val="22"/>
              </w:rPr>
            </w:pPr>
            <w:r>
              <w:rPr>
                <w:rFonts w:ascii="Verdana" w:hAnsi="Verdana"/>
                <w:color w:val="757575"/>
                <w:sz w:val="22"/>
                <w:szCs w:val="22"/>
              </w:rPr>
              <w:object w:dxaOrig="3000" w:dyaOrig="2055">
                <v:shape id="_x0000_i1068" type="#_x0000_t75" style="width:23.1pt;height:18.25pt" o:ole="">
                  <v:imagedata r:id="rId13" o:title=""/>
                </v:shape>
                <w:control r:id="rId26" w:name="DefaultOcxName12" w:shapeid="_x0000_i1068"/>
              </w:object>
            </w:r>
            <w:r>
              <w:rPr>
                <w:rStyle w:val="apple-converted-space"/>
                <w:rFonts w:ascii="Verdana" w:hAnsi="Verdana"/>
                <w:color w:val="757575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757575"/>
                <w:sz w:val="22"/>
                <w:szCs w:val="22"/>
              </w:rPr>
              <w:t>бр.</w:t>
            </w:r>
          </w:p>
        </w:tc>
      </w:tr>
    </w:tbl>
    <w:p w:rsidR="007D6BFD" w:rsidRPr="007D6BFD" w:rsidRDefault="007D6BFD">
      <w:pPr>
        <w:rPr>
          <w:sz w:val="28"/>
          <w:szCs w:val="28"/>
          <w:u w:val="single"/>
          <w:lang w:val="en-US"/>
        </w:rPr>
      </w:pPr>
    </w:p>
    <w:p w:rsidR="00AC19AB" w:rsidRDefault="00AC19AB">
      <w:pPr>
        <w:rPr>
          <w:sz w:val="28"/>
          <w:szCs w:val="28"/>
          <w:u w:val="single"/>
        </w:rPr>
      </w:pPr>
    </w:p>
    <w:p w:rsidR="007D6BFD" w:rsidRDefault="007D6BFD">
      <w:pPr>
        <w:rPr>
          <w:sz w:val="28"/>
          <w:szCs w:val="28"/>
          <w:u w:val="single"/>
          <w:lang w:val="en-US"/>
        </w:rPr>
      </w:pPr>
    </w:p>
    <w:p w:rsidR="007D6BFD" w:rsidRDefault="007D6BFD">
      <w:pPr>
        <w:rPr>
          <w:sz w:val="28"/>
          <w:szCs w:val="28"/>
          <w:u w:val="single"/>
          <w:lang w:val="en-US"/>
        </w:rPr>
      </w:pPr>
    </w:p>
    <w:p w:rsidR="007D6BFD" w:rsidRDefault="007D6BFD">
      <w:pPr>
        <w:rPr>
          <w:sz w:val="28"/>
          <w:szCs w:val="28"/>
          <w:u w:val="single"/>
          <w:lang w:val="en-US"/>
        </w:rPr>
      </w:pPr>
    </w:p>
    <w:p w:rsidR="0040175E" w:rsidRPr="007D6BFD" w:rsidRDefault="0040175E">
      <w:pPr>
        <w:rPr>
          <w:sz w:val="32"/>
          <w:szCs w:val="32"/>
          <w:u w:val="single"/>
        </w:rPr>
      </w:pPr>
      <w:r w:rsidRPr="007D6BFD">
        <w:rPr>
          <w:sz w:val="32"/>
          <w:szCs w:val="32"/>
          <w:u w:val="single"/>
        </w:rPr>
        <w:lastRenderedPageBreak/>
        <w:t>Примери за монтаж във ВиК Русе ООД</w:t>
      </w:r>
    </w:p>
    <w:p w:rsidR="00ED6FB4" w:rsidRPr="00BB5BBE" w:rsidRDefault="00ED6FB4">
      <w:pPr>
        <w:rPr>
          <w:sz w:val="16"/>
          <w:szCs w:val="16"/>
          <w:u w:val="single"/>
        </w:rPr>
      </w:pPr>
    </w:p>
    <w:p w:rsidR="00ED6FB4" w:rsidRPr="00ED6FB4" w:rsidRDefault="00ED6FB4" w:rsidP="00ED6FB4">
      <w:pPr>
        <w:numPr>
          <w:ilvl w:val="0"/>
          <w:numId w:val="4"/>
        </w:numPr>
        <w:rPr>
          <w:sz w:val="28"/>
          <w:szCs w:val="28"/>
        </w:rPr>
      </w:pPr>
      <w:r w:rsidRPr="00ED6FB4">
        <w:rPr>
          <w:sz w:val="28"/>
          <w:szCs w:val="28"/>
        </w:rPr>
        <w:t>Вътре в ТП на стойка над предпазителите 20 Кв.</w:t>
      </w:r>
    </w:p>
    <w:p w:rsidR="00ED6FB4" w:rsidRPr="00ED6FB4" w:rsidRDefault="00ED6FB4" w:rsidP="00ED6FB4">
      <w:pPr>
        <w:numPr>
          <w:ilvl w:val="0"/>
          <w:numId w:val="4"/>
        </w:numPr>
        <w:rPr>
          <w:sz w:val="28"/>
          <w:szCs w:val="28"/>
        </w:rPr>
      </w:pPr>
      <w:r w:rsidRPr="00ED6FB4">
        <w:rPr>
          <w:sz w:val="28"/>
          <w:szCs w:val="28"/>
        </w:rPr>
        <w:t xml:space="preserve">Вътре в ТП на </w:t>
      </w:r>
      <w:r>
        <w:rPr>
          <w:sz w:val="28"/>
          <w:szCs w:val="28"/>
        </w:rPr>
        <w:t>мястото на изолаторите</w:t>
      </w:r>
      <w:r w:rsidRPr="00ED6FB4">
        <w:rPr>
          <w:sz w:val="28"/>
          <w:szCs w:val="28"/>
        </w:rPr>
        <w:t xml:space="preserve"> над предпазителите 20 Кв.</w:t>
      </w:r>
    </w:p>
    <w:p w:rsidR="00ED6FB4" w:rsidRPr="00ED6FB4" w:rsidRDefault="00ED6FB4" w:rsidP="00ED6FB4">
      <w:pPr>
        <w:numPr>
          <w:ilvl w:val="0"/>
          <w:numId w:val="4"/>
        </w:numPr>
        <w:rPr>
          <w:sz w:val="28"/>
          <w:szCs w:val="28"/>
        </w:rPr>
      </w:pPr>
      <w:r w:rsidRPr="00ED6FB4">
        <w:rPr>
          <w:sz w:val="28"/>
          <w:szCs w:val="28"/>
        </w:rPr>
        <w:t xml:space="preserve">Вътре в ТП на </w:t>
      </w:r>
      <w:r>
        <w:rPr>
          <w:sz w:val="28"/>
          <w:szCs w:val="28"/>
        </w:rPr>
        <w:t>мястото на изолаторите</w:t>
      </w:r>
      <w:r w:rsidRPr="00ED6FB4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ED6FB4">
        <w:rPr>
          <w:sz w:val="28"/>
          <w:szCs w:val="28"/>
        </w:rPr>
        <w:t xml:space="preserve"> предпазителите 20 Кв.</w:t>
      </w:r>
    </w:p>
    <w:p w:rsidR="00ED6FB4" w:rsidRPr="007D6BFD" w:rsidRDefault="00ED6FB4" w:rsidP="00ED6FB4">
      <w:pPr>
        <w:numPr>
          <w:ilvl w:val="0"/>
          <w:numId w:val="4"/>
        </w:numPr>
        <w:rPr>
          <w:sz w:val="28"/>
          <w:szCs w:val="28"/>
        </w:rPr>
      </w:pPr>
      <w:r w:rsidRPr="00ED6FB4">
        <w:rPr>
          <w:sz w:val="28"/>
          <w:szCs w:val="28"/>
        </w:rPr>
        <w:t>Извън ТП на стойка под проходната плоча.</w:t>
      </w:r>
    </w:p>
    <w:p w:rsidR="007D6BFD" w:rsidRDefault="007D6BFD" w:rsidP="00ED6FB4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килия на РУ20 Кв - самостоятелно или съвместно с напреженови трансформатори.</w:t>
      </w:r>
    </w:p>
    <w:p w:rsidR="007D6BFD" w:rsidRDefault="007D6BFD" w:rsidP="007D6BFD">
      <w:pPr>
        <w:rPr>
          <w:sz w:val="28"/>
          <w:szCs w:val="28"/>
        </w:rPr>
      </w:pPr>
      <w:r>
        <w:rPr>
          <w:sz w:val="28"/>
          <w:szCs w:val="28"/>
        </w:rPr>
        <w:t>За извършване на монтажа е необходимо предварително да се подготвят необходимите материали и инструменти и да се издаде наряд,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тъй като дейността крие риск от поражение от ел.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ток и при работа на височина.</w:t>
      </w:r>
    </w:p>
    <w:p w:rsidR="007D6BFD" w:rsidRDefault="007D6BFD" w:rsidP="007D6BFD">
      <w:pPr>
        <w:rPr>
          <w:sz w:val="28"/>
          <w:szCs w:val="28"/>
        </w:rPr>
      </w:pPr>
      <w:r>
        <w:rPr>
          <w:sz w:val="28"/>
          <w:szCs w:val="28"/>
        </w:rPr>
        <w:t>Материалите са: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вентилни отводи,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стойка,</w:t>
      </w:r>
      <w:r w:rsidR="00915296">
        <w:rPr>
          <w:sz w:val="28"/>
          <w:szCs w:val="28"/>
        </w:rPr>
        <w:t xml:space="preserve"> </w:t>
      </w:r>
      <w:r w:rsidR="00797CFE">
        <w:rPr>
          <w:sz w:val="28"/>
          <w:szCs w:val="28"/>
        </w:rPr>
        <w:t>плоска шина,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подложки под подпорните изолатори /вентилните отводи са по-дълги от изолаторите с 100 мм/;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АС мостове;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кабелни обувки и др.</w:t>
      </w:r>
    </w:p>
    <w:p w:rsidR="007D6BFD" w:rsidRDefault="007D6BFD" w:rsidP="007D6BFD">
      <w:pPr>
        <w:rPr>
          <w:sz w:val="28"/>
          <w:szCs w:val="28"/>
        </w:rPr>
      </w:pPr>
      <w:r>
        <w:rPr>
          <w:sz w:val="28"/>
          <w:szCs w:val="28"/>
        </w:rPr>
        <w:t xml:space="preserve">Инструментите и приспособленията </w:t>
      </w:r>
      <w:r w:rsidR="009504FA">
        <w:rPr>
          <w:sz w:val="28"/>
          <w:szCs w:val="28"/>
        </w:rPr>
        <w:t xml:space="preserve">за различните видове монтаж </w:t>
      </w:r>
      <w:r>
        <w:rPr>
          <w:sz w:val="28"/>
          <w:szCs w:val="28"/>
        </w:rPr>
        <w:t>са:</w:t>
      </w:r>
      <w:r w:rsidR="00915296">
        <w:rPr>
          <w:sz w:val="28"/>
          <w:szCs w:val="28"/>
        </w:rPr>
        <w:t xml:space="preserve"> </w:t>
      </w:r>
      <w:r>
        <w:rPr>
          <w:sz w:val="28"/>
          <w:szCs w:val="28"/>
        </w:rPr>
        <w:t>гаечни ключове;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перфоратор с дълга видия;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дрелка с акумулатор или ръчен маткап за разпробиване при липса на напрежение;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агрегат за ток и заварка;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преносим заземител;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изолационна преграда;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изолиращи клещи;</w:t>
      </w:r>
      <w:r w:rsidR="00915296">
        <w:rPr>
          <w:sz w:val="28"/>
          <w:szCs w:val="28"/>
        </w:rPr>
        <w:t xml:space="preserve"> </w:t>
      </w:r>
      <w:r w:rsidR="009504FA">
        <w:rPr>
          <w:sz w:val="28"/>
          <w:szCs w:val="28"/>
        </w:rPr>
        <w:t>оперативна щанга</w:t>
      </w:r>
      <w:r w:rsidR="00797CFE">
        <w:rPr>
          <w:sz w:val="28"/>
          <w:szCs w:val="28"/>
        </w:rPr>
        <w:t>;</w:t>
      </w:r>
      <w:r w:rsidR="00915296">
        <w:rPr>
          <w:sz w:val="28"/>
          <w:szCs w:val="28"/>
        </w:rPr>
        <w:t xml:space="preserve"> </w:t>
      </w:r>
      <w:r w:rsidR="00797CFE">
        <w:rPr>
          <w:sz w:val="28"/>
          <w:szCs w:val="28"/>
        </w:rPr>
        <w:t>стълба;</w:t>
      </w:r>
      <w:r w:rsidR="00915296">
        <w:rPr>
          <w:sz w:val="28"/>
          <w:szCs w:val="28"/>
        </w:rPr>
        <w:t xml:space="preserve"> </w:t>
      </w:r>
      <w:r w:rsidR="00797CFE">
        <w:rPr>
          <w:sz w:val="28"/>
          <w:szCs w:val="28"/>
        </w:rPr>
        <w:t>диелектрични ръкавици</w:t>
      </w:r>
      <w:r w:rsidR="009504FA">
        <w:rPr>
          <w:sz w:val="28"/>
          <w:szCs w:val="28"/>
        </w:rPr>
        <w:t xml:space="preserve"> и др.</w:t>
      </w:r>
    </w:p>
    <w:p w:rsidR="009504FA" w:rsidRDefault="009504FA" w:rsidP="007D6BFD">
      <w:pPr>
        <w:rPr>
          <w:sz w:val="28"/>
          <w:szCs w:val="28"/>
        </w:rPr>
      </w:pPr>
      <w:r>
        <w:rPr>
          <w:sz w:val="28"/>
          <w:szCs w:val="28"/>
        </w:rPr>
        <w:t>Преди започване на работа всички операции добре се планират,</w:t>
      </w:r>
      <w:r w:rsidR="0091529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за да може след като се изключи ТП да се работи без забавяне докато приключи монтажа в рамките на 2-3 часа.</w:t>
      </w:r>
    </w:p>
    <w:p w:rsidR="009504FA" w:rsidRDefault="00797CFE" w:rsidP="007D6BFD">
      <w:pPr>
        <w:rPr>
          <w:sz w:val="28"/>
          <w:szCs w:val="28"/>
        </w:rPr>
      </w:pPr>
      <w:r>
        <w:rPr>
          <w:sz w:val="28"/>
          <w:szCs w:val="28"/>
        </w:rPr>
        <w:t>Долния край на вентилните отводи се свързва към заземителната инсталация на ТП.</w:t>
      </w:r>
    </w:p>
    <w:p w:rsidR="009504FA" w:rsidRDefault="009504FA" w:rsidP="007D6BFD">
      <w:pPr>
        <w:rPr>
          <w:sz w:val="28"/>
          <w:szCs w:val="28"/>
        </w:rPr>
      </w:pPr>
    </w:p>
    <w:p w:rsidR="009504FA" w:rsidRDefault="009504FA" w:rsidP="007D6BFD">
      <w:pPr>
        <w:rPr>
          <w:sz w:val="28"/>
          <w:szCs w:val="28"/>
        </w:rPr>
      </w:pPr>
      <w:r>
        <w:rPr>
          <w:sz w:val="28"/>
          <w:szCs w:val="28"/>
        </w:rPr>
        <w:t>Монтаж в ТП на ПС Образцов чифлик над подпорните изолатори на стойката за пури с преносимо заземление и изолационна преграда</w:t>
      </w:r>
    </w:p>
    <w:p w:rsidR="00ED6FB4" w:rsidRDefault="00927D8C">
      <w:pPr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759450" cy="4319270"/>
            <wp:effectExtent l="0" t="0" r="0" b="0"/>
            <wp:docPr id="2" name="Картина 2" descr="4B0ED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B0ED6C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75E" w:rsidRPr="0040175E" w:rsidRDefault="0040175E">
      <w:pPr>
        <w:rPr>
          <w:sz w:val="28"/>
          <w:szCs w:val="28"/>
          <w:u w:val="single"/>
        </w:rPr>
      </w:pPr>
    </w:p>
    <w:p w:rsidR="00AE539F" w:rsidRDefault="00AE539F"/>
    <w:p w:rsidR="00AE539F" w:rsidRDefault="00927D8C">
      <w:pPr>
        <w:rPr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602605" cy="4196715"/>
            <wp:effectExtent l="0" t="0" r="0" b="0"/>
            <wp:docPr id="3" name="Картина 3" descr="55637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5637B5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FA" w:rsidRDefault="009504FA">
      <w:pPr>
        <w:rPr>
          <w:sz w:val="28"/>
          <w:szCs w:val="28"/>
          <w:u w:val="single"/>
        </w:rPr>
      </w:pPr>
    </w:p>
    <w:p w:rsidR="006E1896" w:rsidRDefault="006E1896">
      <w:pPr>
        <w:rPr>
          <w:sz w:val="28"/>
          <w:szCs w:val="28"/>
          <w:u w:val="single"/>
        </w:rPr>
      </w:pPr>
    </w:p>
    <w:p w:rsidR="006E1896" w:rsidRDefault="006E1896">
      <w:pPr>
        <w:rPr>
          <w:sz w:val="28"/>
          <w:szCs w:val="28"/>
          <w:u w:val="single"/>
        </w:rPr>
      </w:pPr>
    </w:p>
    <w:p w:rsidR="00AC19AB" w:rsidRDefault="00927D8C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5963920" cy="4472940"/>
            <wp:effectExtent l="0" t="0" r="0" b="0"/>
            <wp:wrapSquare wrapText="bothSides"/>
            <wp:docPr id="12" name="Картина 12" descr="IMGP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P18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4FA">
        <w:rPr>
          <w:sz w:val="28"/>
          <w:szCs w:val="28"/>
          <w:u w:val="single"/>
        </w:rPr>
        <w:t>Монтаж на стойка под проходната плоча на ПС Чанаджика</w:t>
      </w:r>
    </w:p>
    <w:p w:rsidR="00656BA3" w:rsidRDefault="00656BA3">
      <w:pPr>
        <w:rPr>
          <w:sz w:val="28"/>
          <w:szCs w:val="28"/>
          <w:u w:val="single"/>
        </w:rPr>
      </w:pPr>
    </w:p>
    <w:p w:rsidR="00656BA3" w:rsidRPr="00AE539F" w:rsidRDefault="00656BA3">
      <w:pPr>
        <w:rPr>
          <w:sz w:val="28"/>
          <w:szCs w:val="28"/>
          <w:u w:val="single"/>
        </w:rPr>
      </w:pPr>
      <w:hyperlink r:id="rId30" w:history="1">
        <w:r w:rsidRPr="00656BA3">
          <w:rPr>
            <w:rStyle w:val="a5"/>
            <w:sz w:val="28"/>
            <w:szCs w:val="28"/>
          </w:rPr>
          <w:t>Монтирани през 2011 год. вентилни от</w:t>
        </w:r>
        <w:r w:rsidRPr="00656BA3">
          <w:rPr>
            <w:rStyle w:val="a5"/>
            <w:sz w:val="28"/>
            <w:szCs w:val="28"/>
          </w:rPr>
          <w:t>в</w:t>
        </w:r>
        <w:r w:rsidRPr="00656BA3">
          <w:rPr>
            <w:rStyle w:val="a5"/>
            <w:sz w:val="28"/>
            <w:szCs w:val="28"/>
          </w:rPr>
          <w:t>оди на фирмата Райхем  на 15 обекта на ВиК Русе</w:t>
        </w:r>
      </w:hyperlink>
    </w:p>
    <w:sectPr w:rsidR="00656BA3" w:rsidRPr="00AE539F" w:rsidSect="006E1896">
      <w:pgSz w:w="11906" w:h="16838"/>
      <w:pgMar w:top="36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7C0F"/>
    <w:multiLevelType w:val="hybridMultilevel"/>
    <w:tmpl w:val="2A7C66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6737F"/>
    <w:multiLevelType w:val="multilevel"/>
    <w:tmpl w:val="2E6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36483"/>
    <w:multiLevelType w:val="hybridMultilevel"/>
    <w:tmpl w:val="7C6CE0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87"/>
    <w:rsid w:val="002137FF"/>
    <w:rsid w:val="003F51EC"/>
    <w:rsid w:val="0040175E"/>
    <w:rsid w:val="00420ED8"/>
    <w:rsid w:val="00605390"/>
    <w:rsid w:val="00656BA3"/>
    <w:rsid w:val="006E1896"/>
    <w:rsid w:val="00797CFE"/>
    <w:rsid w:val="007D6BFD"/>
    <w:rsid w:val="00807E70"/>
    <w:rsid w:val="00915296"/>
    <w:rsid w:val="00927D8C"/>
    <w:rsid w:val="009504FA"/>
    <w:rsid w:val="00981A87"/>
    <w:rsid w:val="00A559D3"/>
    <w:rsid w:val="00A565BE"/>
    <w:rsid w:val="00A661B5"/>
    <w:rsid w:val="00AC19AB"/>
    <w:rsid w:val="00AE539F"/>
    <w:rsid w:val="00BB5BBE"/>
    <w:rsid w:val="00DB5FC0"/>
    <w:rsid w:val="00E63BE9"/>
    <w:rsid w:val="00E963C4"/>
    <w:rsid w:val="00ED6FB4"/>
    <w:rsid w:val="00F8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5059FD3"/>
  <w15:chartTrackingRefBased/>
  <w15:docId w15:val="{5C0052A1-58E7-4E7B-ABB0-951EF8AC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801A2"/>
    <w:rPr>
      <w:szCs w:val="20"/>
      <w:lang w:eastAsia="en-US"/>
    </w:rPr>
  </w:style>
  <w:style w:type="character" w:customStyle="1" w:styleId="cat2zagl">
    <w:name w:val="cat2_zagl"/>
    <w:basedOn w:val="a0"/>
    <w:rsid w:val="007D6BFD"/>
  </w:style>
  <w:style w:type="character" w:customStyle="1" w:styleId="proddesc">
    <w:name w:val="prod_desc"/>
    <w:basedOn w:val="a0"/>
    <w:rsid w:val="007D6BFD"/>
  </w:style>
  <w:style w:type="character" w:styleId="a4">
    <w:name w:val="Strong"/>
    <w:basedOn w:val="a0"/>
    <w:qFormat/>
    <w:rsid w:val="007D6BFD"/>
    <w:rPr>
      <w:b/>
      <w:bCs/>
    </w:rPr>
  </w:style>
  <w:style w:type="character" w:customStyle="1" w:styleId="apple-converted-space">
    <w:name w:val="apple-converted-space"/>
    <w:basedOn w:val="a0"/>
    <w:rsid w:val="007D6BFD"/>
  </w:style>
  <w:style w:type="paragraph" w:styleId="z-">
    <w:name w:val="HTML Top of Form"/>
    <w:basedOn w:val="a"/>
    <w:next w:val="a"/>
    <w:hidden/>
    <w:rsid w:val="007D6BF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5">
    <w:name w:val="Hyperlink"/>
    <w:basedOn w:val="a0"/>
    <w:rsid w:val="00656BA3"/>
    <w:rPr>
      <w:color w:val="0000FF"/>
      <w:u w:val="single"/>
    </w:rPr>
  </w:style>
  <w:style w:type="character" w:styleId="a6">
    <w:name w:val="FollowedHyperlink"/>
    <w:basedOn w:val="a0"/>
    <w:rsid w:val="00656BA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2064">
          <w:marLeft w:val="0"/>
          <w:marRight w:val="0"/>
          <w:marTop w:val="0"/>
          <w:marBottom w:val="0"/>
          <w:divBdr>
            <w:top w:val="single" w:sz="8" w:space="10" w:color="C0C0C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control" Target="activeX/activeX5.xml"/><Relationship Id="rId26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3.emf"/><Relationship Id="rId12" Type="http://schemas.openxmlformats.org/officeDocument/2006/relationships/image" Target="media/image6.jpeg"/><Relationship Id="rId17" Type="http://schemas.openxmlformats.org/officeDocument/2006/relationships/control" Target="activeX/activeX4.xml"/><Relationship Id="rId25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0" Type="http://schemas.openxmlformats.org/officeDocument/2006/relationships/control" Target="activeX/activeX7.xm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2.bin"/><Relationship Id="rId24" Type="http://schemas.openxmlformats.org/officeDocument/2006/relationships/control" Target="activeX/activeX11.xml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control" Target="activeX/activeX2.xml"/><Relationship Id="rId23" Type="http://schemas.openxmlformats.org/officeDocument/2006/relationships/control" Target="activeX/activeX10.xml"/><Relationship Id="rId28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control" Target="activeX/activeX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control" Target="activeX/activeX1.xml"/><Relationship Id="rId22" Type="http://schemas.openxmlformats.org/officeDocument/2006/relationships/control" Target="activeX/activeX9.xml"/><Relationship Id="rId27" Type="http://schemas.openxmlformats.org/officeDocument/2006/relationships/image" Target="media/image8.jpeg"/><Relationship Id="rId30" Type="http://schemas.openxmlformats.org/officeDocument/2006/relationships/hyperlink" Target="file:///D:\Ot%20star%20PC\C_DISK\Desktop\Site2024\News\9-11\1496-1-08+DA1+Series,+(IEC)+Distribution+metal+oxide+surge+arrester.pd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Вакуумен контактор 6 Кв</vt:lpstr>
      <vt:lpstr>Вакуумен контактор 6 Кв</vt:lpstr>
    </vt:vector>
  </TitlesOfParts>
  <Company/>
  <LinksUpToDate>false</LinksUpToDate>
  <CharactersWithSpaces>7253</CharactersWithSpaces>
  <SharedDoc>false</SharedDoc>
  <HLinks>
    <vt:vector size="6" baseType="variant">
      <vt:variant>
        <vt:i4>2883646</vt:i4>
      </vt:variant>
      <vt:variant>
        <vt:i4>42</vt:i4>
      </vt:variant>
      <vt:variant>
        <vt:i4>0</vt:i4>
      </vt:variant>
      <vt:variant>
        <vt:i4>5</vt:i4>
      </vt:variant>
      <vt:variant>
        <vt:lpwstr>1496-1-08+DA1+Series,+(IEC)+Distribution+metal+oxide+surge+arrester.pdf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Вакуумен контактор 6 Кв</dc:title>
  <dc:subject/>
  <dc:creator>PC</dc:creator>
  <cp:keywords/>
  <dc:description/>
  <cp:lastModifiedBy>Rumen Yordanov</cp:lastModifiedBy>
  <cp:revision>3</cp:revision>
  <dcterms:created xsi:type="dcterms:W3CDTF">2026-04-14T08:33:00Z</dcterms:created>
  <dcterms:modified xsi:type="dcterms:W3CDTF">2026-04-14T08:35:00Z</dcterms:modified>
</cp:coreProperties>
</file>